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C42C5" w:rsidRPr="007C42C5" w:rsidRDefault="007C42C5" w:rsidP="007C42C5">
      <w:pPr>
        <w:tabs>
          <w:tab w:val="left" w:pos="280"/>
        </w:tabs>
        <w:suppressAutoHyphens/>
        <w:autoSpaceDE w:val="0"/>
        <w:autoSpaceDN w:val="0"/>
        <w:adjustRightInd w:val="0"/>
        <w:spacing w:before="113" w:after="0" w:line="260" w:lineRule="atLeast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</w:pPr>
      <w:r w:rsidRPr="007C42C5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  <w:t>Überblick: Geschützter Personenkreis nach § 15 KSchG</w:t>
      </w:r>
    </w:p>
    <w:p w:rsidR="007C42C5" w:rsidRPr="007C42C5" w:rsidRDefault="007C42C5" w:rsidP="007C42C5">
      <w:pPr>
        <w:tabs>
          <w:tab w:val="left" w:pos="280"/>
        </w:tabs>
        <w:suppressAutoHyphens/>
        <w:autoSpaceDE w:val="0"/>
        <w:autoSpaceDN w:val="0"/>
        <w:adjustRightInd w:val="0"/>
        <w:spacing w:before="113" w:after="0" w:line="260" w:lineRule="atLeast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</w:p>
    <w:p w:rsidR="007C42C5" w:rsidRPr="007C42C5" w:rsidRDefault="007C42C5" w:rsidP="007C42C5">
      <w:pPr>
        <w:autoSpaceDE w:val="0"/>
        <w:autoSpaceDN w:val="0"/>
        <w:adjustRightInd w:val="0"/>
        <w:spacing w:after="240" w:line="260" w:lineRule="atLeast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7C42C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Wer unter den Schutz des § 15 KSchG fällt, dem darf nicht ordentlich gekündigt werden. Allerdings hält dieser Schutz nicht ewig. Wer von dem Schutz profitiert, entnehmen Sie der folgenden Tabelle.</w:t>
      </w:r>
    </w:p>
    <w:tbl>
      <w:tblPr>
        <w:tblStyle w:val="Tabellenraster"/>
        <w:tblW w:w="0" w:type="auto"/>
        <w:tblLayout w:type="fixed"/>
        <w:tblLook w:val="0000" w:firstRow="0" w:lastRow="0" w:firstColumn="0" w:lastColumn="0" w:noHBand="0" w:noVBand="0"/>
      </w:tblPr>
      <w:tblGrid>
        <w:gridCol w:w="5382"/>
        <w:gridCol w:w="3969"/>
      </w:tblGrid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</w:rPr>
              <w:t>Geschützte Personen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</w:rPr>
              <w:t>Norm</w:t>
            </w:r>
          </w:p>
        </w:tc>
      </w:tr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Betriebsrat/Betriebsrätin während der Dauer der Amtszeit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§ 15 Abs. 1 Satz 1 KSchG</w:t>
            </w:r>
          </w:p>
        </w:tc>
      </w:tr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Betriebsrat/Betriebsrätin innerhalb eines Jahres nach Ende der Amtszeit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§ 15 Abs. 1 Satz 2 KSchG</w:t>
            </w:r>
          </w:p>
        </w:tc>
      </w:tr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Ersatzmitglied des Betriebsrats während der Vertretungszeit, also während der Dauer der Verhinderung des zu vertretenden Betriebsrats/der zu vertretenden Betriebsrätin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§ 15 Abs. 1 Satz 1 i. V. m. § 25 Abs. 1 Satz 2 BetrVG</w:t>
            </w:r>
          </w:p>
        </w:tc>
      </w:tr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Wahlvorstand einer Betriebsratswahl (ab der Bestellung bis zur Bekanntgabe des Wahlergebnisses)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§ 15 Abs. 3 Satz 1 KSchG</w:t>
            </w:r>
          </w:p>
        </w:tc>
      </w:tr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Wahlvorstand einer Betriebsratswahl bis sechs Monate nach Bekanntgabe des Wahlergebnisses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§ 15 Abs. 3 Satz 2 KSchG</w:t>
            </w:r>
          </w:p>
        </w:tc>
      </w:tr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Wahlbewerber/in einer Betriebsratswahl ab der Aufstellung bis zur Bekanntgabe des Wahlergebnisses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§ 15 Abs. 3 Satz 1 KSchG</w:t>
            </w:r>
          </w:p>
        </w:tc>
      </w:tr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Wahlbewerber/in einer Betriebsratswahl bis sechs Monate nach Bekanntgabe des Wahlergebnisses 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§ 15 Abs. 3 Satz 2 KSchG</w:t>
            </w:r>
          </w:p>
        </w:tc>
      </w:tr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Die ersten sechs in einer Einladung zu einer Betriebs- oder Wahlversammlung aufgeführten Arbeitnehmenden, ab der Einladung bis zur Bekanntgabe des Wahlergebnisses 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§ 15 Abs. 3a Satz 1 KSchG</w:t>
            </w:r>
          </w:p>
        </w:tc>
      </w:tr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Die ersten drei in einem Antrag zur Bestellung eines Wahlvorstands aufgeführten Arbeitnehmenden, vom Antrag bis zur Bekanntgabe des Wahlergebnisses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§ 15 Abs. 3a Satz 1 KSchG</w:t>
            </w:r>
          </w:p>
        </w:tc>
      </w:tr>
      <w:tr w:rsidR="007C42C5" w:rsidRPr="007C42C5" w:rsidTr="0024242F">
        <w:trPr>
          <w:trHeight w:val="60"/>
        </w:trPr>
        <w:tc>
          <w:tcPr>
            <w:tcW w:w="5382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Arbeitnehmenden, die Vorbereitungshandlungen zur Errichtung eines Betriebsrats unternehmen und eine öffentlich beglaubigte Erklärung mit dem Inhalt abgegeben haben, </w:t>
            </w:r>
            <w:proofErr w:type="spellStart"/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sie die Absicht haben, einen Betriebsrat zu gründen, darf nur gekündigt werden, wenn die Voraussetzungen einer fristlosen Kündigung vorliegen.</w:t>
            </w:r>
          </w:p>
        </w:tc>
        <w:tc>
          <w:tcPr>
            <w:tcW w:w="3969" w:type="dxa"/>
          </w:tcPr>
          <w:p w:rsidR="007C42C5" w:rsidRPr="007C42C5" w:rsidRDefault="007C42C5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7C42C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§ 15 Abs. 3b Satz 1 KSchG</w:t>
            </w:r>
          </w:p>
        </w:tc>
      </w:tr>
    </w:tbl>
    <w:p w:rsidR="00572DD9" w:rsidRPr="007C42C5" w:rsidRDefault="00572DD9" w:rsidP="007C42C5">
      <w:pPr>
        <w:rPr>
          <w:rFonts w:asciiTheme="majorHAnsi" w:hAnsiTheme="majorHAnsi" w:cstheme="majorHAnsi"/>
          <w:sz w:val="22"/>
          <w:szCs w:val="22"/>
        </w:rPr>
      </w:pPr>
    </w:p>
    <w:sectPr w:rsidR="00572DD9" w:rsidRPr="007C42C5" w:rsidSect="002024C0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3216" w:rsidRDefault="004B3216" w:rsidP="00FD1777">
      <w:pPr>
        <w:spacing w:after="0" w:line="240" w:lineRule="auto"/>
      </w:pPr>
      <w:r>
        <w:separator/>
      </w:r>
    </w:p>
  </w:endnote>
  <w:endnote w:type="continuationSeparator" w:id="0">
    <w:p w:rsidR="004B3216" w:rsidRDefault="004B3216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3216" w:rsidRDefault="004B3216" w:rsidP="00FD1777">
      <w:pPr>
        <w:spacing w:after="0" w:line="240" w:lineRule="auto"/>
      </w:pPr>
      <w:r>
        <w:separator/>
      </w:r>
    </w:p>
  </w:footnote>
  <w:footnote w:type="continuationSeparator" w:id="0">
    <w:p w:rsidR="004B3216" w:rsidRDefault="004B3216" w:rsidP="00FD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773"/>
    <w:multiLevelType w:val="hybridMultilevel"/>
    <w:tmpl w:val="56489FF4"/>
    <w:lvl w:ilvl="0" w:tplc="D7742002">
      <w:numFmt w:val="bullet"/>
      <w:lvlText w:val="•"/>
      <w:lvlJc w:val="left"/>
      <w:pPr>
        <w:ind w:left="811" w:hanging="360"/>
      </w:pPr>
      <w:rPr>
        <w:rFonts w:ascii="Calibri Light" w:eastAsiaTheme="minorEastAsia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" w15:restartNumberingAfterBreak="0">
    <w:nsid w:val="7E803648"/>
    <w:multiLevelType w:val="hybridMultilevel"/>
    <w:tmpl w:val="4790BDF8"/>
    <w:lvl w:ilvl="0" w:tplc="0407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 w16cid:durableId="2018077005">
    <w:abstractNumId w:val="1"/>
  </w:num>
  <w:num w:numId="2" w16cid:durableId="87866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141D2"/>
    <w:rsid w:val="000C4FD9"/>
    <w:rsid w:val="001116A3"/>
    <w:rsid w:val="00173238"/>
    <w:rsid w:val="00180743"/>
    <w:rsid w:val="002024C0"/>
    <w:rsid w:val="00286123"/>
    <w:rsid w:val="0032644E"/>
    <w:rsid w:val="003A3807"/>
    <w:rsid w:val="003D3C35"/>
    <w:rsid w:val="00423B6A"/>
    <w:rsid w:val="00426D09"/>
    <w:rsid w:val="004B3216"/>
    <w:rsid w:val="004C2DD4"/>
    <w:rsid w:val="00534BCE"/>
    <w:rsid w:val="00572DD9"/>
    <w:rsid w:val="005E645B"/>
    <w:rsid w:val="007C3C53"/>
    <w:rsid w:val="007C42C5"/>
    <w:rsid w:val="008133A6"/>
    <w:rsid w:val="008E5619"/>
    <w:rsid w:val="009C3F35"/>
    <w:rsid w:val="009E4476"/>
    <w:rsid w:val="00A93665"/>
    <w:rsid w:val="00B207A9"/>
    <w:rsid w:val="00BD0042"/>
    <w:rsid w:val="00DC404A"/>
    <w:rsid w:val="00F4443D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C2BF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  <w:style w:type="paragraph" w:customStyle="1" w:styleId="p1">
    <w:name w:val="p1"/>
    <w:basedOn w:val="Standard"/>
    <w:rsid w:val="00A93665"/>
    <w:pPr>
      <w:spacing w:after="0" w:line="240" w:lineRule="auto"/>
    </w:pPr>
    <w:rPr>
      <w:rFonts w:ascii="Helvetica" w:eastAsia="Times New Roman" w:hAnsi="Helvetica" w:cs="Times New Roman"/>
      <w:color w:val="1C5C6A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A93665"/>
    <w:pPr>
      <w:spacing w:after="0" w:line="240" w:lineRule="auto"/>
    </w:pPr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2026-05-17T13:41:00Z</dcterms:created>
  <dcterms:modified xsi:type="dcterms:W3CDTF">2026-05-17T13:41:00Z</dcterms:modified>
</cp:coreProperties>
</file>